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527" w:rsidRPr="00FB6E0F" w:rsidRDefault="00DD3527" w:rsidP="00FB6E0F">
      <w:pPr>
        <w:spacing w:after="12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B6E0F">
        <w:rPr>
          <w:rFonts w:ascii="Times New Roman" w:hAnsi="Times New Roman" w:cs="Times New Roman"/>
          <w:b/>
          <w:bCs/>
          <w:sz w:val="24"/>
          <w:szCs w:val="24"/>
        </w:rPr>
        <w:t>Apresentação</w:t>
      </w:r>
    </w:p>
    <w:p w:rsidR="00DD3527" w:rsidRPr="00FB6E0F" w:rsidRDefault="00DD3527" w:rsidP="00FB6E0F">
      <w:pPr>
        <w:spacing w:after="12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6E0F">
        <w:rPr>
          <w:rFonts w:ascii="Times New Roman" w:hAnsi="Times New Roman" w:cs="Times New Roman"/>
          <w:sz w:val="24"/>
          <w:szCs w:val="24"/>
        </w:rPr>
        <w:t xml:space="preserve">Estamos lançando o volume 01 da 17ª. edição da revista BASE. Nosso primeiro volume do ano de 2020, composto por seis artigos – três de Administração e três </w:t>
      </w:r>
      <w:proofErr w:type="gramStart"/>
      <w:r w:rsidRPr="00FB6E0F">
        <w:rPr>
          <w:rFonts w:ascii="Times New Roman" w:hAnsi="Times New Roman" w:cs="Times New Roman"/>
          <w:sz w:val="24"/>
          <w:szCs w:val="24"/>
        </w:rPr>
        <w:t>de</w:t>
      </w:r>
      <w:r w:rsidR="000E2B9A">
        <w:rPr>
          <w:rFonts w:ascii="Times New Roman" w:hAnsi="Times New Roman" w:cs="Times New Roman"/>
          <w:sz w:val="24"/>
          <w:szCs w:val="24"/>
        </w:rPr>
        <w:t xml:space="preserve"> </w:t>
      </w:r>
      <w:r w:rsidRPr="00FB6E0F">
        <w:rPr>
          <w:rFonts w:ascii="Times New Roman" w:hAnsi="Times New Roman" w:cs="Times New Roman"/>
          <w:sz w:val="24"/>
          <w:szCs w:val="24"/>
        </w:rPr>
        <w:t>Contábeis</w:t>
      </w:r>
      <w:proofErr w:type="gramEnd"/>
      <w:r w:rsidRPr="00FB6E0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DD3527" w:rsidRPr="00FB6E0F" w:rsidRDefault="00DD3527" w:rsidP="00FB6E0F">
      <w:pPr>
        <w:spacing w:after="120" w:line="36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</w:pPr>
      <w:r w:rsidRPr="00FB6E0F">
        <w:rPr>
          <w:rFonts w:ascii="Times New Roman" w:hAnsi="Times New Roman" w:cs="Times New Roman"/>
          <w:sz w:val="24"/>
          <w:szCs w:val="24"/>
        </w:rPr>
        <w:t>O primeiro artigo, “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Permanence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Abroad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Strategic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Renewal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of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 Digital Born Global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from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Emerging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Market: a Case </w:t>
      </w:r>
      <w:proofErr w:type="spellStart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Study</w:t>
      </w:r>
      <w:proofErr w:type="spellEnd"/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”, </w:t>
      </w:r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proofErr w:type="spellStart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Rossato</w:t>
      </w:r>
      <w:proofErr w:type="spellEnd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proofErr w:type="spellStart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Floriani</w:t>
      </w:r>
      <w:proofErr w:type="spellEnd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proofErr w:type="spellStart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Amal</w:t>
      </w:r>
      <w:proofErr w:type="spellEnd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, </w:t>
      </w:r>
      <w:r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investiga a influência da renovação estratégica na permanência no exterior de </w:t>
      </w:r>
      <w:proofErr w:type="spellStart"/>
      <w:r w:rsidRPr="00FB6E0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born</w:t>
      </w:r>
      <w:proofErr w:type="spellEnd"/>
      <w:r w:rsidRPr="00FB6E0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globals</w:t>
      </w:r>
      <w:proofErr w:type="spellEnd"/>
      <w:r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mercados emergentes.</w:t>
      </w:r>
      <w:r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segundo artigo, “</w:t>
      </w:r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Investimento em Recursos Intangíveis de Relacionamento e o Desempenho no Setor do Agronegócio: Análise do Caso JBS-Friboi</w:t>
      </w:r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”</w:t>
      </w:r>
      <w:r w:rsid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Pires, </w:t>
      </w:r>
      <w:proofErr w:type="spellStart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Fedato</w:t>
      </w:r>
      <w:proofErr w:type="spellEnd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</w:t>
      </w:r>
      <w:proofErr w:type="spellStart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Trez</w:t>
      </w:r>
      <w:proofErr w:type="spellEnd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investiga a relação entre a posse de recursos intangíveis de relacionamento e o desempenho organizacional. O último artigo da área de Administração,</w:t>
      </w:r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“</w:t>
      </w:r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Transferência de conhecimento entre universidade e empresa (U-E): influência das condições universitárias</w:t>
      </w:r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” </w:t>
      </w:r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 Diniz, Mendonça, Siqueira e Santos analisa a influência das condições universitárias no</w:t>
      </w:r>
      <w:r w:rsidRPr="00FB6E0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desempenho da transferência de conhecimento (TC) entre uma universidade e suas empresas parceiras</w:t>
      </w:r>
      <w:r w:rsidRPr="00FB6E0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.</w:t>
      </w:r>
    </w:p>
    <w:p w:rsidR="00DD3527" w:rsidRPr="00FB6E0F" w:rsidRDefault="00DD3527" w:rsidP="00FB6E0F">
      <w:pPr>
        <w:spacing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6E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Já na área de Contábeis, o quarto artigo, “</w:t>
      </w:r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conservadorismo condicional nas demonstrações financeiras das incorporações de capital aberto no Brasil</w:t>
      </w:r>
      <w:r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”</w:t>
      </w:r>
      <w:r w:rsid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</w:t>
      </w:r>
      <w:r w:rsidR="00FB6E0F"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</w:t>
      </w:r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proofErr w:type="spellStart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Loenert</w:t>
      </w:r>
      <w:proofErr w:type="spellEnd"/>
      <w:r w:rsidRPr="00FB6E0F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 Silva, </w:t>
      </w:r>
      <w:r w:rsidR="00FB6E0F" w:rsidRPr="00FB6E0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an</w:t>
      </w:r>
      <w:r w:rsidR="00FB6E0F" w:rsidRPr="00FB6E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alisa</w:t>
      </w:r>
      <w:r w:rsidR="00FB6E0F" w:rsidRPr="00FB6E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m</w:t>
      </w:r>
      <w:r w:rsidR="00FB6E0F" w:rsidRPr="00FB6E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o conservadorismo condicional das incorporadoras de capital aberto no Brasil.</w:t>
      </w:r>
      <w:r w:rsidR="00FB6E0F" w:rsidRPr="00FB6E0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O quinto artigo, de Góis e Parente, “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Earnings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management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by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classification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shifting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corporate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governance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in </w:t>
      </w:r>
      <w:proofErr w:type="spellStart"/>
      <w:r w:rsid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</w:t>
      </w:r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razil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”, </w:t>
      </w:r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>estudou</w:t>
      </w:r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influência da governança corporativa no gerenciamento de resultados por mudança de classificação.</w:t>
      </w:r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Finalmente, o sexto e último artigo deste número, “</w:t>
      </w:r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R&amp;D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Expenses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the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Expectation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of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Value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Generation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in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Brazilian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Firms</w:t>
      </w:r>
      <w:proofErr w:type="spellEnd"/>
      <w:r w:rsidR="00FB6E0F" w:rsidRPr="00FB6E0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” </w:t>
      </w:r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>tem o objetivo de verificar a existência de relação causal entre os gastos com P&amp;D não ativados pela Contabilidade,</w:t>
      </w:r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considerando-o uma </w:t>
      </w:r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>proxy para inovação, e o índice book-</w:t>
      </w:r>
      <w:proofErr w:type="spellStart"/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proofErr w:type="spellStart"/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>market</w:t>
      </w:r>
      <w:proofErr w:type="spellEnd"/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(BTM)</w:t>
      </w:r>
      <w:r w:rsidR="00FB6E0F"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B6E0F" w:rsidRPr="00FB6E0F" w:rsidRDefault="00FB6E0F" w:rsidP="00FB6E0F">
      <w:pPr>
        <w:spacing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B6E0F" w:rsidRPr="00FB6E0F" w:rsidRDefault="00FB6E0F" w:rsidP="00FB6E0F">
      <w:pPr>
        <w:spacing w:after="12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B6E0F">
        <w:rPr>
          <w:rFonts w:ascii="Times New Roman" w:eastAsia="Times New Roman" w:hAnsi="Times New Roman" w:cs="Times New Roman"/>
          <w:sz w:val="24"/>
          <w:szCs w:val="24"/>
          <w:lang w:eastAsia="pt-BR"/>
        </w:rPr>
        <w:t>Desejamos a todos uma ótima leitura.</w:t>
      </w:r>
    </w:p>
    <w:p w:rsidR="00FB6E0F" w:rsidRPr="00FB6E0F" w:rsidRDefault="00FB6E0F" w:rsidP="00FB6E0F">
      <w:pPr>
        <w:spacing w:after="12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B6E0F" w:rsidRPr="00FB6E0F" w:rsidRDefault="00FB6E0F" w:rsidP="00FB6E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6E0F">
        <w:rPr>
          <w:rFonts w:ascii="Times New Roman" w:hAnsi="Times New Roman" w:cs="Times New Roman"/>
          <w:b/>
          <w:bCs/>
          <w:sz w:val="24"/>
          <w:szCs w:val="24"/>
        </w:rPr>
        <w:t xml:space="preserve">Ivan </w:t>
      </w:r>
      <w:proofErr w:type="spellStart"/>
      <w:r w:rsidRPr="00FB6E0F">
        <w:rPr>
          <w:rFonts w:ascii="Times New Roman" w:hAnsi="Times New Roman" w:cs="Times New Roman"/>
          <w:b/>
          <w:bCs/>
          <w:sz w:val="24"/>
          <w:szCs w:val="24"/>
        </w:rPr>
        <w:t>Lapuente</w:t>
      </w:r>
      <w:proofErr w:type="spellEnd"/>
      <w:r w:rsidRPr="00FB6E0F">
        <w:rPr>
          <w:rFonts w:ascii="Times New Roman" w:hAnsi="Times New Roman" w:cs="Times New Roman"/>
          <w:b/>
          <w:bCs/>
          <w:sz w:val="24"/>
          <w:szCs w:val="24"/>
        </w:rPr>
        <w:t xml:space="preserve"> Garrido </w:t>
      </w:r>
    </w:p>
    <w:p w:rsidR="00FB6E0F" w:rsidRPr="00FB6E0F" w:rsidRDefault="00FB6E0F" w:rsidP="00FB6E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B6E0F">
        <w:rPr>
          <w:rFonts w:ascii="Times New Roman" w:hAnsi="Times New Roman" w:cs="Times New Roman"/>
          <w:b/>
          <w:bCs/>
          <w:sz w:val="24"/>
          <w:szCs w:val="24"/>
        </w:rPr>
        <w:t xml:space="preserve">Roberto Frota </w:t>
      </w:r>
      <w:proofErr w:type="spellStart"/>
      <w:r w:rsidRPr="00FB6E0F">
        <w:rPr>
          <w:rFonts w:ascii="Times New Roman" w:hAnsi="Times New Roman" w:cs="Times New Roman"/>
          <w:b/>
          <w:bCs/>
          <w:sz w:val="24"/>
          <w:szCs w:val="24"/>
        </w:rPr>
        <w:t>Decourt</w:t>
      </w:r>
      <w:proofErr w:type="spellEnd"/>
      <w:r w:rsidRPr="00FB6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D3527" w:rsidRPr="00FB6E0F" w:rsidRDefault="00FB6E0F" w:rsidP="00FB6E0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B6E0F">
        <w:rPr>
          <w:rFonts w:ascii="Times New Roman" w:hAnsi="Times New Roman" w:cs="Times New Roman"/>
          <w:b/>
          <w:bCs/>
          <w:sz w:val="24"/>
          <w:szCs w:val="24"/>
        </w:rPr>
        <w:t>Editores</w:t>
      </w:r>
    </w:p>
    <w:sectPr w:rsidR="00DD3527" w:rsidRPr="00FB6E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0NTQzMTAysjQBspR0lIJTi4sz8/NACgxrAW8NXJUsAAAA"/>
  </w:docVars>
  <w:rsids>
    <w:rsidRoot w:val="00DD3527"/>
    <w:rsid w:val="000E2B9A"/>
    <w:rsid w:val="0017580F"/>
    <w:rsid w:val="00DD3527"/>
    <w:rsid w:val="00FB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59E95"/>
  <w15:chartTrackingRefBased/>
  <w15:docId w15:val="{45B1DA57-5C90-4FA2-BACA-B9B3D4933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3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2020-03-31T18:07:00Z</dcterms:created>
  <dcterms:modified xsi:type="dcterms:W3CDTF">2020-03-31T18:28:00Z</dcterms:modified>
</cp:coreProperties>
</file>